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8EC10" w14:textId="77777777" w:rsidR="00262DDB" w:rsidRPr="00336D42" w:rsidRDefault="00262DDB" w:rsidP="00262DDB">
      <w:r w:rsidRPr="00336D42">
        <w:rPr>
          <w:rFonts w:ascii="Calibri" w:eastAsia="Calibri" w:hAnsi="Calibri" w:cs="Calibri"/>
          <w:b/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1BA0FF8F" wp14:editId="0A78DA15">
            <wp:simplePos x="0" y="0"/>
            <wp:positionH relativeFrom="column">
              <wp:posOffset>-686435</wp:posOffset>
            </wp:positionH>
            <wp:positionV relativeFrom="paragraph">
              <wp:posOffset>-1067435</wp:posOffset>
            </wp:positionV>
            <wp:extent cx="4000500" cy="1143000"/>
            <wp:effectExtent l="0" t="0" r="0" b="0"/>
            <wp:wrapNone/>
            <wp:docPr id="1" name="Picture 1" descr="C:\Users\UltrbOOK\AppData\Local\Microsoft\Windows\INetCache\Content.MSO\155524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trbOOK\AppData\Local\Microsoft\Windows\INetCache\Content.MSO\1555241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513A0" w14:textId="77777777" w:rsidR="00262DDB" w:rsidRPr="00336D42" w:rsidRDefault="00262DDB" w:rsidP="00262DDB">
      <w:pPr>
        <w:jc w:val="center"/>
      </w:pPr>
      <w:r w:rsidRPr="00336D42">
        <w:rPr>
          <w:noProof/>
          <w:lang w:val="en-US"/>
        </w:rPr>
        <w:drawing>
          <wp:inline distT="0" distB="0" distL="0" distR="0" wp14:anchorId="595315E5" wp14:editId="637BC9DB">
            <wp:extent cx="601569" cy="612000"/>
            <wp:effectExtent l="0" t="0" r="0" b="0"/>
            <wp:docPr id="3" name="Afbeelding 10">
              <a:extLst xmlns:a="http://schemas.openxmlformats.org/drawingml/2006/main">
                <a:ext uri="{FF2B5EF4-FFF2-40B4-BE49-F238E27FC236}">
                  <a16:creationId xmlns:a16="http://schemas.microsoft.com/office/drawing/2014/main" id="{2CF70D77-BF2F-B14A-BBD1-E26037AC2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>
                      <a:extLst>
                        <a:ext uri="{FF2B5EF4-FFF2-40B4-BE49-F238E27FC236}">
                          <a16:creationId xmlns:a16="http://schemas.microsoft.com/office/drawing/2014/main" id="{2CF70D77-BF2F-B14A-BBD1-E26037AC2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5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DDF5" w14:textId="78B62E69" w:rsidR="00262DDB" w:rsidRPr="00336D42" w:rsidRDefault="00262DDB" w:rsidP="00262D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36D42">
        <w:rPr>
          <w:rFonts w:ascii="Calibri" w:eastAsia="Calibri" w:hAnsi="Calibri" w:cs="Calibri"/>
          <w:b/>
          <w:color w:val="000000"/>
          <w:sz w:val="28"/>
          <w:szCs w:val="28"/>
        </w:rPr>
        <w:t>Educ</w:t>
      </w:r>
      <w:r w:rsidR="00336D42" w:rsidRPr="00336D42">
        <w:rPr>
          <w:rFonts w:ascii="Calibri" w:eastAsia="Calibri" w:hAnsi="Calibri" w:cs="Calibri"/>
          <w:b/>
          <w:color w:val="000000"/>
          <w:sz w:val="28"/>
          <w:szCs w:val="28"/>
        </w:rPr>
        <w:t>ația pentru Valori și Atitudini în</w:t>
      </w:r>
      <w:r w:rsidRPr="00336D42">
        <w:rPr>
          <w:rFonts w:ascii="Calibri" w:eastAsia="Calibri" w:hAnsi="Calibri" w:cs="Calibri"/>
          <w:b/>
          <w:color w:val="000000"/>
          <w:sz w:val="28"/>
          <w:szCs w:val="28"/>
        </w:rPr>
        <w:t xml:space="preserve"> Europ</w:t>
      </w:r>
      <w:r w:rsidR="00336D42" w:rsidRPr="00336D42">
        <w:rPr>
          <w:rFonts w:ascii="Calibri" w:eastAsia="Calibri" w:hAnsi="Calibri" w:cs="Calibri"/>
          <w:b/>
          <w:color w:val="000000"/>
          <w:sz w:val="28"/>
          <w:szCs w:val="28"/>
        </w:rPr>
        <w:t>a</w:t>
      </w:r>
      <w:r w:rsidRPr="00336D42">
        <w:rPr>
          <w:rFonts w:ascii="Calibri" w:eastAsia="Calibri" w:hAnsi="Calibri" w:cs="Calibri"/>
          <w:b/>
          <w:color w:val="000000"/>
          <w:sz w:val="28"/>
          <w:szCs w:val="28"/>
        </w:rPr>
        <w:t xml:space="preserve"> Incluzivă</w:t>
      </w:r>
    </w:p>
    <w:p w14:paraId="0B95CB03" w14:textId="77777777" w:rsidR="00262DDB" w:rsidRPr="00336D42" w:rsidRDefault="00262DDB" w:rsidP="00262DDB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36D42">
        <w:rPr>
          <w:rFonts w:ascii="Calibri" w:eastAsia="Calibri" w:hAnsi="Calibri" w:cs="Calibri"/>
          <w:b/>
          <w:color w:val="000000"/>
          <w:sz w:val="28"/>
          <w:szCs w:val="28"/>
        </w:rPr>
        <w:t>2019-1-BE02-KA201-060238</w:t>
      </w:r>
    </w:p>
    <w:tbl>
      <w:tblPr>
        <w:tblStyle w:val="GridTable6Colorful-Accent1"/>
        <w:tblpPr w:leftFromText="180" w:rightFromText="180" w:vertAnchor="text" w:tblpXSpec="center" w:tblpY="1"/>
        <w:tblOverlap w:val="never"/>
        <w:tblW w:w="5957" w:type="pct"/>
        <w:tblLayout w:type="fixed"/>
        <w:tblLook w:val="04A0" w:firstRow="1" w:lastRow="0" w:firstColumn="1" w:lastColumn="0" w:noHBand="0" w:noVBand="1"/>
      </w:tblPr>
      <w:tblGrid>
        <w:gridCol w:w="1413"/>
        <w:gridCol w:w="9781"/>
      </w:tblGrid>
      <w:tr w:rsidR="00262DDB" w:rsidRPr="00336D42" w14:paraId="26EA7CFB" w14:textId="77777777" w:rsidTr="00917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0C99DEC0" w14:textId="77777777" w:rsidR="00262DDB" w:rsidRPr="00336D42" w:rsidRDefault="00262DDB" w:rsidP="0091777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Subiect</w:t>
            </w:r>
          </w:p>
          <w:p w14:paraId="0603291F" w14:textId="77777777" w:rsidR="00262DDB" w:rsidRPr="00336D42" w:rsidRDefault="00262DDB" w:rsidP="0091777A">
            <w:pPr>
              <w:jc w:val="center"/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  <w:shd w:val="clear" w:color="auto" w:fill="BDD6EE" w:themeFill="accent1" w:themeFillTint="66"/>
          </w:tcPr>
          <w:p w14:paraId="424D34AC" w14:textId="6A56A7B2" w:rsidR="00262DDB" w:rsidRPr="00336D42" w:rsidRDefault="00262DDB" w:rsidP="0091777A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MULTICULTURALITATE</w:t>
            </w:r>
            <w:r w:rsidR="000E78D0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A</w:t>
            </w:r>
          </w:p>
        </w:tc>
      </w:tr>
      <w:tr w:rsidR="00262DDB" w:rsidRPr="00336D42" w14:paraId="496AE0B7" w14:textId="77777777" w:rsidTr="009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29C3B3A8" w14:textId="77777777" w:rsidR="00262DDB" w:rsidRDefault="00262DDB" w:rsidP="0091777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Imagine</w:t>
            </w:r>
          </w:p>
          <w:p w14:paraId="6F3AA0FD" w14:textId="31A78095" w:rsidR="000E78D0" w:rsidRDefault="000E78D0" w:rsidP="000E78D0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</w:t>
            </w:r>
          </w:p>
          <w:p w14:paraId="5FD79612" w14:textId="7C0E1066" w:rsidR="000E78D0" w:rsidRDefault="000E78D0" w:rsidP="000E78D0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titlu</w:t>
            </w:r>
          </w:p>
          <w:p w14:paraId="0CC98280" w14:textId="4933B5F0" w:rsidR="000E78D0" w:rsidRPr="00336D42" w:rsidRDefault="000E78D0" w:rsidP="000E78D0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29A02FC2" w14:textId="77777777" w:rsidR="00262DDB" w:rsidRPr="00336D42" w:rsidRDefault="00262DDB" w:rsidP="0091777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 w:rsidRPr="00336D42">
              <w:rPr>
                <w:rFonts w:ascii="Calibri" w:eastAsia="Calibri" w:hAnsi="Calibri" w:cs="Calibri"/>
                <w:b/>
                <w:noProof/>
                <w:color w:val="000000"/>
                <w:sz w:val="27"/>
                <w:szCs w:val="27"/>
                <w:lang w:val="en-US"/>
              </w:rPr>
              <w:drawing>
                <wp:inline distT="0" distB="0" distL="0" distR="0" wp14:anchorId="1EFBC455" wp14:editId="61917F9E">
                  <wp:extent cx="4472050" cy="363855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376" cy="364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E9CD03" w14:textId="4DA931CA" w:rsidR="00262DDB" w:rsidRPr="00336D42" w:rsidRDefault="00262DDB" w:rsidP="00EC5CB5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  <w:r w:rsidRPr="00336D42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 xml:space="preserve">Sursa: </w:t>
            </w:r>
            <w:hyperlink r:id="rId10" w:history="1">
              <w:r w:rsidRPr="00336D4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8"/>
                  <w:szCs w:val="28"/>
                  <w:lang w:val="ro-RO"/>
                </w:rPr>
                <w:t xml:space="preserve">https://en.wikipedia.org/wiki/Ethnic_groups_in_Europe </w:t>
              </w:r>
            </w:hyperlink>
            <w:r w:rsidRPr="00336D42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Distribuția limbilor majore ale Europei, Din Wikipedia, enciclopedia liberă -</w:t>
            </w:r>
            <w:r w:rsidRPr="00336D42">
              <w:rPr>
                <w:lang w:val="ro-RO"/>
              </w:rPr>
              <w:t xml:space="preserve"> </w:t>
            </w:r>
            <w:r w:rsidRPr="00336D42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Grupuri etnice în Europa, Domeniu Public</w:t>
            </w:r>
          </w:p>
        </w:tc>
      </w:tr>
      <w:tr w:rsidR="00262DDB" w:rsidRPr="00336D42" w14:paraId="0D443EB0" w14:textId="77777777" w:rsidTr="00917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243BAEF0" w14:textId="77777777" w:rsidR="00262DDB" w:rsidRPr="00336D42" w:rsidRDefault="00262DDB" w:rsidP="0091777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Titlu</w:t>
            </w:r>
          </w:p>
        </w:tc>
        <w:tc>
          <w:tcPr>
            <w:tcW w:w="4369" w:type="pct"/>
          </w:tcPr>
          <w:p w14:paraId="20B2FA97" w14:textId="3E248A35" w:rsidR="00262DDB" w:rsidRPr="00336D42" w:rsidRDefault="00336D42" w:rsidP="00336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IDENTITATEA EUROPEANĂ: PATRIMONIUL</w:t>
            </w:r>
            <w:r w:rsidR="00781449"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CULTURAL</w:t>
            </w: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COMUN </w:t>
            </w:r>
            <w:r w:rsidR="00781449"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ȘI VALORI</w:t>
            </w: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LE</w:t>
            </w:r>
            <w:r w:rsidR="00781449"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COMUNE</w:t>
            </w:r>
          </w:p>
        </w:tc>
      </w:tr>
      <w:tr w:rsidR="00262DDB" w:rsidRPr="00336D42" w14:paraId="54A7A249" w14:textId="77777777" w:rsidTr="009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0E259286" w14:textId="77777777" w:rsidR="00262DDB" w:rsidRPr="00336D42" w:rsidRDefault="00262DDB" w:rsidP="0091777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Detalii:</w:t>
            </w:r>
          </w:p>
        </w:tc>
        <w:tc>
          <w:tcPr>
            <w:tcW w:w="4369" w:type="pct"/>
          </w:tcPr>
          <w:p w14:paraId="5272D514" w14:textId="77777777" w:rsidR="00262DDB" w:rsidRPr="00336D42" w:rsidRDefault="00262DDB" w:rsidP="0091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 xml:space="preserve">Scop 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:</w:t>
            </w:r>
          </w:p>
          <w:p w14:paraId="37B53804" w14:textId="58C5ED56" w:rsidR="00781449" w:rsidRPr="00336D42" w:rsidRDefault="00262DDB" w:rsidP="0091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Această lecție se adresează elevilor din </w:t>
            </w:r>
            <w:r w:rsidR="00336D42" w:rsidRP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ciclul lice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al și </w:t>
            </w:r>
            <w:r w:rsid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se bazează pe studierea 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articolului științific 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„De la „patrimoniul cultural european” la „diversitatea culturală”? Valorile fundamentale în schimbare ale politicii culturale europene” de Calligaro Oriane. Ar putea face 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parte dintr-o serie de lecții care explorează viziunea rațională, științifică asupra fenomenelor sociale complexe legate de identitatea culturală, integrarea culturală și multiculturalitatea.</w:t>
            </w:r>
            <w:r w:rsidR="000E78D0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</w:t>
            </w:r>
            <w:r w:rsidR="00781449" w:rsidRP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Lecția își propune să clarifice aspecte legate de conceptul de identitate europeană, evoluția acestuia în timp, precum și rolul jucat de pilonii săi centrali: patrimoniul cultural comun european și valorile europene. Dialogul intercultural rămâne principalul răspuns la provocările generate de creșterea continuă a diversității culturale în Uniunea Europeană.</w:t>
            </w:r>
          </w:p>
          <w:p w14:paraId="3E32CE4A" w14:textId="76C06F6E" w:rsidR="00262DDB" w:rsidRPr="00336D42" w:rsidRDefault="00262DDB" w:rsidP="0091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Obiective:</w:t>
            </w:r>
          </w:p>
          <w:p w14:paraId="3E20C8BF" w14:textId="77777777" w:rsidR="00262DDB" w:rsidRPr="00336D42" w:rsidRDefault="00262DDB" w:rsidP="0091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La sfârșitul lecției, elevii vor fi capabili să: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</w:t>
            </w:r>
          </w:p>
          <w:p w14:paraId="0AC21564" w14:textId="77777777" w:rsidR="00262DDB" w:rsidRPr="00336D42" w:rsidRDefault="00262DDB" w:rsidP="0091777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Să descrie conceptele de identitate europeană, moștenire culturală europeană, valori europene, integrare, diversitate culturală și dialog intercultural;</w:t>
            </w:r>
          </w:p>
          <w:p w14:paraId="52BB542D" w14:textId="046436AA" w:rsidR="00262DDB" w:rsidRPr="00336D42" w:rsidRDefault="00262DDB" w:rsidP="0091777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Să </w:t>
            </w:r>
            <w:r w:rsid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aducă ar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gumente</w:t>
            </w:r>
            <w:r w:rsid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în favoarea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</w:t>
            </w:r>
            <w:r w:rsid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unei 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coexistenț</w:t>
            </w:r>
            <w:r w:rsid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e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armonioas</w:t>
            </w:r>
            <w:r w:rsid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e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</w:t>
            </w:r>
            <w:r w:rsid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între diferitele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</w:t>
            </w:r>
            <w:r w:rsid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comunități conlocuitoare</w:t>
            </w:r>
            <w:r w:rsidR="00472CD7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,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</w:t>
            </w:r>
            <w:r w:rsidR="00472CD7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cu 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păstr</w:t>
            </w:r>
            <w:r w:rsidR="00472CD7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area 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identit</w:t>
            </w:r>
            <w:r w:rsidR="00472CD7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ății 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cultural</w:t>
            </w:r>
            <w:r w:rsidR="00472CD7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e dar și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cu respectarea tuturor normelor sociale și juridice locale;</w:t>
            </w:r>
          </w:p>
          <w:p w14:paraId="77991AAF" w14:textId="10ABCAF1" w:rsidR="00262DDB" w:rsidRPr="00336D42" w:rsidRDefault="00262DDB" w:rsidP="0091777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Să </w:t>
            </w:r>
            <w:r w:rsidR="00472CD7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aducă ar</w:t>
            </w:r>
            <w:r w:rsidR="00472CD7"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gumente</w:t>
            </w:r>
            <w:r w:rsidR="00472CD7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în favoarea</w:t>
            </w:r>
            <w:r w:rsidR="00472CD7"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</w:t>
            </w:r>
            <w:r w:rsidR="00472CD7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egalității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în drepturi și îndatoriri între diferite comunităț</w:t>
            </w:r>
            <w:r w:rsidR="00472CD7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i</w:t>
            </w: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sau între majoritate și minorități;</w:t>
            </w:r>
          </w:p>
          <w:p w14:paraId="47A1B1B2" w14:textId="0167401B" w:rsidR="00262DDB" w:rsidRPr="00336D42" w:rsidRDefault="00262DDB" w:rsidP="0091777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Să promoveze atitudini orientate spre cooperare și dialog intercultural.</w:t>
            </w:r>
          </w:p>
          <w:p w14:paraId="212AD8E6" w14:textId="4DCE4A9F" w:rsidR="00262DDB" w:rsidRPr="00336D42" w:rsidRDefault="00262DDB" w:rsidP="0091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Vocabular relevant:</w:t>
            </w:r>
          </w:p>
          <w:p w14:paraId="03CFC43A" w14:textId="77777777" w:rsidR="00262DDB" w:rsidRPr="00336D42" w:rsidRDefault="009E086F" w:rsidP="0091777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hyperlink r:id="rId11" w:history="1">
              <w:r w:rsidR="00262DDB" w:rsidRPr="00336D42">
                <w:rPr>
                  <w:rStyle w:val="Hyperlink"/>
                  <w:rFonts w:ascii="Calibri" w:eastAsia="Calibri" w:hAnsi="Calibri" w:cs="Calibri"/>
                  <w:sz w:val="28"/>
                  <w:szCs w:val="24"/>
                </w:rPr>
                <w:t xml:space="preserve">Migrație </w:t>
              </w:r>
            </w:hyperlink>
            <w:r w:rsidR="00262DDB" w:rsidRP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, </w:t>
            </w:r>
            <w:hyperlink r:id="rId12" w:history="1">
              <w:r w:rsidR="00262DDB" w:rsidRPr="00336D42">
                <w:rPr>
                  <w:rStyle w:val="Hyperlink"/>
                  <w:rFonts w:ascii="Calibri" w:eastAsia="Calibri" w:hAnsi="Calibri" w:cs="Calibri"/>
                  <w:sz w:val="28"/>
                  <w:szCs w:val="24"/>
                </w:rPr>
                <w:t xml:space="preserve">Integrare </w:t>
              </w:r>
            </w:hyperlink>
            <w:r w:rsidR="00262DDB" w:rsidRP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, </w:t>
            </w:r>
            <w:hyperlink r:id="rId13" w:history="1">
              <w:r w:rsidR="00262DDB" w:rsidRPr="00336D42">
                <w:rPr>
                  <w:rStyle w:val="Hyperlink"/>
                  <w:rFonts w:ascii="Calibri" w:eastAsia="Calibri" w:hAnsi="Calibri" w:cs="Calibri"/>
                  <w:sz w:val="28"/>
                  <w:szCs w:val="24"/>
                </w:rPr>
                <w:t xml:space="preserve">Multiculturalism </w:t>
              </w:r>
            </w:hyperlink>
            <w:r w:rsidR="00262DDB" w:rsidRP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, </w:t>
            </w:r>
            <w:hyperlink r:id="rId14" w:history="1">
              <w:r w:rsidR="00262DDB" w:rsidRPr="00336D42">
                <w:rPr>
                  <w:rStyle w:val="Hyperlink"/>
                  <w:rFonts w:ascii="Calibri" w:eastAsia="Calibri" w:hAnsi="Calibri" w:cs="Calibri"/>
                  <w:sz w:val="28"/>
                  <w:szCs w:val="24"/>
                </w:rPr>
                <w:t xml:space="preserve">Politici </w:t>
              </w:r>
            </w:hyperlink>
            <w:hyperlink r:id="rId15" w:history="1">
              <w:r w:rsidR="00262DDB" w:rsidRPr="00336D42">
                <w:rPr>
                  <w:rStyle w:val="Hyperlink"/>
                  <w:rFonts w:ascii="Calibri" w:eastAsia="Calibri" w:hAnsi="Calibri" w:cs="Calibri"/>
                  <w:sz w:val="28"/>
                  <w:szCs w:val="24"/>
                </w:rPr>
                <w:t xml:space="preserve">identitare </w:t>
              </w:r>
            </w:hyperlink>
            <w:r w:rsidR="00262DDB" w:rsidRPr="00336D4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, interculturalism, identitate culturală, reprezentări, tradiții culturale, norme sociale, norme juridice</w:t>
            </w:r>
          </w:p>
        </w:tc>
      </w:tr>
      <w:tr w:rsidR="00262DDB" w:rsidRPr="00336D42" w14:paraId="79B74D4B" w14:textId="77777777" w:rsidTr="00917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3E09B3B8" w14:textId="55AAF6CE" w:rsidR="00262DDB" w:rsidRPr="00336D42" w:rsidRDefault="00262DDB" w:rsidP="0091777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Cum</w:t>
            </w:r>
            <w:r w:rsidR="0071730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folosim 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acest</w:t>
            </w:r>
            <w:r w:rsidR="0071730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plan de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lecție:</w:t>
            </w:r>
          </w:p>
          <w:p w14:paraId="15407496" w14:textId="77777777" w:rsidR="00262DDB" w:rsidRPr="00336D42" w:rsidRDefault="00262DDB" w:rsidP="0091777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64C550B1" w14:textId="77777777" w:rsidR="00262DDB" w:rsidRPr="00336D42" w:rsidRDefault="00262DDB" w:rsidP="0091777A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lastRenderedPageBreak/>
              <w:t>Activități:</w:t>
            </w:r>
          </w:p>
          <w:p w14:paraId="00B58AF8" w14:textId="417498CE" w:rsidR="00262DDB" w:rsidRPr="00336D42" w:rsidRDefault="00262DDB" w:rsidP="0091777A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1) </w:t>
            </w:r>
            <w:r w:rsidR="00472CD7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Pregătirea</w:t>
            </w:r>
          </w:p>
          <w:p w14:paraId="4FA0F873" w14:textId="56982107" w:rsidR="00781449" w:rsidRPr="00336D42" w:rsidRDefault="00781449" w:rsidP="0091777A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lastRenderedPageBreak/>
              <w:t>Înainte de lecție</w:t>
            </w:r>
          </w:p>
          <w:p w14:paraId="6D6841FF" w14:textId="331F130B" w:rsidR="00262DDB" w:rsidRPr="00336D42" w:rsidRDefault="00262DDB" w:rsidP="0091777A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Durata lecției este de două ore, dar opțional studenții pot primi articolul pentru a-l studia acasă, înainte de lecția principală;</w:t>
            </w:r>
          </w:p>
          <w:p w14:paraId="53B8C05B" w14:textId="63D10457" w:rsidR="00781449" w:rsidRPr="00336D42" w:rsidRDefault="00262DDB" w:rsidP="0091777A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Pregatirea fi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ș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elor de 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lucru conținând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articolul tiparit și 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tradus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dacă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este necesar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, precum și spațiu liber pentru adnotări și comentarii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.</w:t>
            </w:r>
          </w:p>
          <w:p w14:paraId="7E20480A" w14:textId="77777777" w:rsidR="00717302" w:rsidRDefault="00717302" w:rsidP="00781449">
            <w:pPr>
              <w:pStyle w:val="ListParagraph"/>
              <w:spacing w:before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</w:p>
          <w:p w14:paraId="71B85279" w14:textId="0C178A46" w:rsidR="00262DDB" w:rsidRPr="00336D42" w:rsidRDefault="00472CD7" w:rsidP="00781449">
            <w:pPr>
              <w:pStyle w:val="ListParagraph"/>
              <w:spacing w:before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La începutul</w:t>
            </w:r>
            <w:r w:rsidR="00781449"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lecției</w:t>
            </w:r>
          </w:p>
          <w:p w14:paraId="4740EFFB" w14:textId="063B5ED1" w:rsidR="00262DDB" w:rsidRPr="00336D42" w:rsidRDefault="00262DDB" w:rsidP="0091777A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Prezentarea temei și a obiectivelor de învățare 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–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de a cunoaște și </w:t>
            </w:r>
            <w:r w:rsidR="004A61A7"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discuta </w:t>
            </w:r>
            <w:r w:rsidR="00472CD7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de</w:t>
            </w:r>
            <w:r w:rsidR="004A61A7"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spre identitatea europeană, </w:t>
            </w:r>
            <w:r w:rsidR="00472CD7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patrimoniul </w:t>
            </w:r>
            <w:r w:rsidR="004A61A7" w:rsidRPr="00336D42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cultural și valorile europene;</w:t>
            </w:r>
          </w:p>
          <w:p w14:paraId="21434C1F" w14:textId="77777777" w:rsidR="00262DDB" w:rsidRPr="00336D42" w:rsidRDefault="00262DDB" w:rsidP="002E331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Prezentarea materialelor și a resurselor web, instruirea elevilor cum să le folosească și </w:t>
            </w:r>
            <w:r w:rsidR="004A61A7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distribuirea fișelor 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de lucru care conțin articolul principal de învățare;</w:t>
            </w:r>
          </w:p>
          <w:p w14:paraId="2DCC163B" w14:textId="77777777" w:rsidR="00262DDB" w:rsidRPr="00336D42" w:rsidRDefault="002E3310" w:rsidP="0091777A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Propunerea principalelor metode de învățare: citirea articolului inclus în fișele de lucru și realizarea de </w:t>
            </w:r>
            <w:r w:rsidR="00262DDB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adnotări sau evidențieri în vederea susținerii discuțiilor și/sau argumentării viitoare, explorarea resurselor media și e-learning, explicații, discuții, prezentări</w:t>
            </w:r>
          </w:p>
          <w:p w14:paraId="097DAE87" w14:textId="5B66B2EE" w:rsidR="00262DDB" w:rsidRPr="00336D42" w:rsidRDefault="00262DDB" w:rsidP="0091777A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2) Activități de învățare</w:t>
            </w:r>
          </w:p>
          <w:p w14:paraId="359D2365" w14:textId="6E38FFB4" w:rsidR="00262DDB" w:rsidRPr="00336D42" w:rsidRDefault="00413367" w:rsidP="0091777A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Elevii sunt 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solicitați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să </w:t>
            </w:r>
            <w:r w:rsidR="00781449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urmărească material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ele </w:t>
            </w:r>
            <w:r w:rsidR="00781449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introductiv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</w:t>
            </w:r>
            <w:r w:rsidR="00781449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 să discute despre ele, </w:t>
            </w:r>
            <w:r w:rsidR="00262DDB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împărtășindu-și gândurile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 opiniile</w:t>
            </w:r>
            <w:r w:rsidR="00262DDB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privi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nd</w:t>
            </w:r>
            <w:r w:rsidR="00262DDB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conviețuirea unor grupuri sau comunități 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conlocuitoare </w:t>
            </w:r>
            <w:r w:rsidR="00262DDB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care sunt diferite din punct de vedere cultural;</w:t>
            </w:r>
          </w:p>
          <w:p w14:paraId="6863B5ED" w14:textId="37E401B8" w:rsidR="00262DDB" w:rsidRPr="00336D42" w:rsidRDefault="00262DDB" w:rsidP="0091777A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Cu ajutorul unui proiector, profesorul introduce conceptele de patrimoniu comun european, valori europene, dialog intercultural, identitate culturală, diversitate culturală;</w:t>
            </w:r>
          </w:p>
          <w:p w14:paraId="544735F0" w14:textId="77777777" w:rsidR="00262DDB" w:rsidRPr="00336D42" w:rsidRDefault="00413367" w:rsidP="0091777A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Elevii vor lucra la fișele lor (citire, evidențiere, adnotare) sub supravegherea profesorului, apoi își vor prezenta și discuta concluziile;</w:t>
            </w:r>
          </w:p>
          <w:p w14:paraId="4AED2728" w14:textId="0E3CC8C0" w:rsidR="00781449" w:rsidRPr="00336D42" w:rsidRDefault="00262DDB" w:rsidP="0091777A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Profesorul propune el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evilor să răspundă</w:t>
            </w:r>
            <w:r w:rsidR="0071730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(de exemplu)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la următoarele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întreb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ări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:</w:t>
            </w:r>
          </w:p>
          <w:p w14:paraId="070403C0" w14:textId="3069B248" w:rsidR="00781449" w:rsidRPr="00336D42" w:rsidRDefault="00781449" w:rsidP="00781449">
            <w:pPr>
              <w:pStyle w:val="ListParagraph"/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- După ce ați citit articolul, credeți că identitatea europeană ar trebui să se bazeze mai mult pe 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patrimoniul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  <w:r w:rsidR="00472CD7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cultural 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comun, pe valori comune sau pe ambele?</w:t>
            </w:r>
          </w:p>
          <w:p w14:paraId="4010848A" w14:textId="77777777" w:rsidR="00262DDB" w:rsidRPr="00336D42" w:rsidRDefault="00781449" w:rsidP="00781449">
            <w:pPr>
              <w:pStyle w:val="ListParagraph"/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lastRenderedPageBreak/>
              <w:t>- Ce atitudini civice ar trebui și ar putea fi cultivate pentru a ajuta la construirea unor comunități mai armonioase și mai prospere?</w:t>
            </w:r>
          </w:p>
          <w:p w14:paraId="2C03A61C" w14:textId="6B48D955" w:rsidR="00F06903" w:rsidRPr="00F06903" w:rsidRDefault="00262DDB" w:rsidP="0091777A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Evaluarea și asigurarea învățării de noi termeni și concepte printr-o sesiune rapidă de întrebări și </w:t>
            </w:r>
            <w:r w:rsidR="00781449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răspunsuri.</w:t>
            </w:r>
          </w:p>
          <w:p w14:paraId="67AE1578" w14:textId="7CF05BEE" w:rsidR="00262DDB" w:rsidRPr="00336D42" w:rsidRDefault="00262DDB" w:rsidP="0091777A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3) Asigurarea </w:t>
            </w:r>
            <w:r w:rsidR="0071730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retenției</w:t>
            </w: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și transferului</w:t>
            </w:r>
          </w:p>
          <w:p w14:paraId="1C7A7D1B" w14:textId="55B74857" w:rsidR="00943AB5" w:rsidRPr="00336D42" w:rsidRDefault="00717302" w:rsidP="00943AB5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Profesorul îndeamnă elevii să studieze materialelor de lectură suplimentară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  <w:r w:rsidR="00943AB5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ș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i să ia în considerare parcurgerea</w:t>
            </w:r>
            <w:r w:rsidR="00943AB5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cursuril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or</w:t>
            </w:r>
            <w:r w:rsidR="00943AB5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digitale</w:t>
            </w:r>
            <w:r w:rsidR="00943AB5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VAEIE;</w:t>
            </w:r>
          </w:p>
          <w:p w14:paraId="221E267D" w14:textId="57C962DF" w:rsidR="00262DDB" w:rsidRPr="00336D42" w:rsidRDefault="00717302" w:rsidP="00717302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Profesorul dă</w:t>
            </w:r>
            <w:r w:rsidR="005E593A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elevilor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ca temă</w:t>
            </w:r>
            <w:r w:rsidR="005E593A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pentru a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casă</w:t>
            </w:r>
            <w:r w:rsidR="005E593A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să lucreze în </w:t>
            </w:r>
            <w:r w:rsidR="005E593A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echipe de proiect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la</w:t>
            </w:r>
            <w:r w:rsidR="005E593A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prezent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area </w:t>
            </w:r>
            <w:r w:rsidR="005E593A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comunităților culturale locale (fiecare echipă va prezenta o comunitate).</w:t>
            </w:r>
          </w:p>
        </w:tc>
      </w:tr>
      <w:tr w:rsidR="00262DDB" w:rsidRPr="00336D42" w14:paraId="375B29FE" w14:textId="77777777" w:rsidTr="009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081D25D1" w14:textId="2C89A769" w:rsidR="00262DDB" w:rsidRPr="00336D42" w:rsidRDefault="000E78D0" w:rsidP="0091777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Resurse</w:t>
            </w:r>
            <w:r w:rsidR="00262DDB" w:rsidRPr="00336D4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  <w:p w14:paraId="6140883C" w14:textId="77777777" w:rsidR="00262DDB" w:rsidRPr="00336D42" w:rsidRDefault="00262DDB" w:rsidP="0091777A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03B74050" w14:textId="77777777" w:rsidR="00262DDB" w:rsidRPr="00336D42" w:rsidRDefault="00262DDB" w:rsidP="0091777A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1) Materiale media (stimul de învățare)</w:t>
            </w:r>
          </w:p>
          <w:p w14:paraId="282B00B9" w14:textId="349DDDF5" w:rsidR="00781449" w:rsidRPr="00336D42" w:rsidRDefault="0060468C" w:rsidP="0091777A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b/>
                <w:noProof/>
                <w:color w:val="000000"/>
                <w:sz w:val="28"/>
                <w:szCs w:val="27"/>
                <w:lang w:val="en-US"/>
              </w:rPr>
              <w:drawing>
                <wp:inline distT="0" distB="0" distL="0" distR="0" wp14:anchorId="2758D9C5" wp14:editId="1D6E7A15">
                  <wp:extent cx="2400000" cy="1800000"/>
                  <wp:effectExtent l="0" t="0" r="635" b="0"/>
                  <wp:docPr id="6" name="Video 6" descr="INTERCULTURAL  DIALOGU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deo 6" descr="INTERCULTURAL  DIALOGUE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NTQo-AbQ6GA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793E0" w14:textId="6686B90D" w:rsidR="00781449" w:rsidRPr="00336D42" w:rsidRDefault="00781449" w:rsidP="0078144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DIALOG INTERCULTURAL, LIVE IN LIEGE BRUXELLES, De pe YouTube By Collence </w:t>
            </w:r>
            <w:r w:rsidR="0071730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Chisita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, </w:t>
            </w:r>
            <w:hyperlink r:id="rId18" w:history="1">
              <w:r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https://www.youtube.com/watch?v=NTQo-AbQ6GA</w:t>
              </w:r>
            </w:hyperlink>
          </w:p>
          <w:p w14:paraId="4780A39C" w14:textId="349DDC22" w:rsidR="00781449" w:rsidRPr="00336D42" w:rsidRDefault="0089609B" w:rsidP="0078144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en-US"/>
              </w:rPr>
              <w:drawing>
                <wp:inline distT="0" distB="0" distL="0" distR="0" wp14:anchorId="2712E17D" wp14:editId="3FAAC8B1">
                  <wp:extent cx="2400000" cy="1800000"/>
                  <wp:effectExtent l="0" t="0" r="635" b="0"/>
                  <wp:docPr id="7" name="Video 7" descr="Intercultural Competenc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ideo 7" descr="Intercultural Competence">
                            <a:hlinkClick r:id="rId19"/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ToOiAiqEvrE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B891A" w14:textId="7003A339" w:rsidR="00F06903" w:rsidRDefault="00781449" w:rsidP="00F069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lastRenderedPageBreak/>
              <w:t>Competență interculturală, ce înseamnă „competență interculturală”? Un educator de Sinah Schmid și Verena Wilk (Universitatea din Jena, Comunicare interculturală de afaceri). Produs de Jakob Kopczynski (HAW Hamburg); vorbitor: Peter Witchalls (Universitatea din Hamburg)</w:t>
            </w:r>
            <w:r w:rsidR="00F0690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. 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De pe YouTube, </w:t>
            </w:r>
          </w:p>
          <w:p w14:paraId="33D6708E" w14:textId="725E7355" w:rsidR="00781449" w:rsidRPr="00336D42" w:rsidRDefault="009E086F" w:rsidP="008960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21" w:history="1">
              <w:r w:rsidR="00781449"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 xml:space="preserve">IntercultureTV </w:t>
              </w:r>
            </w:hyperlink>
            <w:r w:rsidR="00781449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, </w:t>
            </w:r>
            <w:hyperlink r:id="rId22" w:history="1">
              <w:r w:rsidR="00781449"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https://www.youtube.com/watch?v=ToOiAiqEvrE</w:t>
              </w:r>
            </w:hyperlink>
          </w:p>
          <w:p w14:paraId="44A8C716" w14:textId="05B21381" w:rsidR="00262DDB" w:rsidRPr="00336D42" w:rsidRDefault="00262DDB" w:rsidP="0091777A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2) Materiale de lectură (resurse de învățare)</w:t>
            </w:r>
          </w:p>
          <w:p w14:paraId="19EA661E" w14:textId="107B5E25" w:rsidR="00781449" w:rsidRPr="00F06903" w:rsidRDefault="00F06903" w:rsidP="004C158D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F0690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Calligaro Oriane</w:t>
            </w:r>
            <w:r w:rsidR="00781449" w:rsidRPr="00F0690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„De la „moștenirea culturală europeană” la „diversitatea culturală”? Valorile de bază în schimbare a</w:t>
            </w:r>
            <w:r w:rsidRPr="00F0690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le politicii culturale europene</w:t>
            </w:r>
            <w:r w:rsidR="00781449" w:rsidRPr="00F0690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», </w:t>
            </w:r>
            <w:r w:rsidR="00781449" w:rsidRPr="00F06903"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7"/>
              </w:rPr>
              <w:t xml:space="preserve">Politique européenne </w:t>
            </w:r>
            <w:r w:rsidR="00781449" w:rsidRPr="00F0690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, 2014/3 (n° 45), p. 60-85. DOI : 10.3917/poeu.045.0060. URL:</w:t>
            </w:r>
            <w:hyperlink r:id="rId23" w:history="1">
              <w:r w:rsidRPr="00DC7D5D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https://www.cairn.info/revue-politique-europeenne-2014-3-page-0.htm</w:t>
              </w:r>
            </w:hyperlink>
          </w:p>
          <w:p w14:paraId="3A2831B5" w14:textId="77777777" w:rsidR="00717302" w:rsidRDefault="00717302" w:rsidP="0091777A">
            <w:pPr>
              <w:pStyle w:val="ListParagraph"/>
              <w:spacing w:before="2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</w:p>
          <w:p w14:paraId="02CA3EC0" w14:textId="31CFD4BC" w:rsidR="00262DDB" w:rsidRPr="00336D42" w:rsidRDefault="00717302" w:rsidP="0091777A">
            <w:pPr>
              <w:pStyle w:val="ListParagraph"/>
              <w:spacing w:before="2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3) L</w:t>
            </w:r>
            <w:r w:rsidR="00262DDB" w:rsidRPr="00336D42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ecturi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suplimentare</w:t>
            </w:r>
          </w:p>
          <w:p w14:paraId="23D60AC4" w14:textId="77777777" w:rsidR="00262DDB" w:rsidRPr="00336D42" w:rsidRDefault="00262DDB" w:rsidP="0091777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</w:p>
          <w:p w14:paraId="6567D1D4" w14:textId="77777777" w:rsidR="00262DDB" w:rsidRPr="00336D42" w:rsidRDefault="00262DDB" w:rsidP="0091777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VAEIE OOC-Module, Multiculturalitate,</w:t>
            </w:r>
          </w:p>
          <w:p w14:paraId="5AE98D94" w14:textId="77777777" w:rsidR="00262DDB" w:rsidRPr="00336D42" w:rsidRDefault="009E086F" w:rsidP="0091777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u w:val="single"/>
              </w:rPr>
            </w:pPr>
            <w:hyperlink r:id="rId24" w:history="1">
              <w:r w:rsidR="00262DDB"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https://vaeie.eu/ecourses/course/view.php?id=13</w:t>
              </w:r>
            </w:hyperlink>
          </w:p>
          <w:p w14:paraId="4CE93F41" w14:textId="77777777" w:rsidR="00262DDB" w:rsidRPr="00336D42" w:rsidRDefault="00262DDB" w:rsidP="0091777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Multiculturalism – Din Wikipedia, enciclopedia liberă,</w:t>
            </w:r>
          </w:p>
          <w:p w14:paraId="2B2C8E4F" w14:textId="77777777" w:rsidR="00262DDB" w:rsidRPr="00336D42" w:rsidRDefault="009E086F" w:rsidP="0091777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25" w:anchor="Support" w:history="1">
              <w:r w:rsidR="00262DDB"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https://en.wikipedia.org/wiki/Multiculturalism#Support</w:t>
              </w:r>
            </w:hyperlink>
          </w:p>
          <w:p w14:paraId="675C438A" w14:textId="77777777" w:rsidR="00262DDB" w:rsidRPr="00336D42" w:rsidRDefault="00262DDB" w:rsidP="0091777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Interculturalism - Din Wikipedia, enciclopedia liberă,</w:t>
            </w:r>
          </w:p>
          <w:p w14:paraId="5997F2FA" w14:textId="77777777" w:rsidR="00262DDB" w:rsidRPr="00336D42" w:rsidRDefault="009E086F" w:rsidP="0091777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26" w:history="1">
              <w:r w:rsidR="00262DDB"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https://en.wikipedia.org/wiki/Interculturalism</w:t>
              </w:r>
            </w:hyperlink>
          </w:p>
          <w:p w14:paraId="3551459A" w14:textId="77777777" w:rsidR="00262DDB" w:rsidRPr="00336D42" w:rsidRDefault="00262DDB" w:rsidP="0091777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Integrare culturală, </w:t>
            </w:r>
            <w:hyperlink r:id="rId27" w:history="1">
              <w:r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https://germanydaily.de/culture/cultural-integration/</w:t>
              </w:r>
            </w:hyperlink>
          </w:p>
          <w:p w14:paraId="09E7E430" w14:textId="77777777" w:rsidR="00262DDB" w:rsidRPr="00336D42" w:rsidRDefault="00262DDB" w:rsidP="0091777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OMC Group on Cultural Diversity and Intercultural Dialog: Reflection Paper by Chris Torch EENC Paper, septembrie 2012, </w:t>
            </w:r>
            <w:hyperlink r:id="rId28" w:history="1">
              <w:r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https://eenc.eu/uploads/eenc-eu/2021/04/21/83b9ec17e60b026419ac84c7280bec6a.pdf</w:t>
              </w:r>
            </w:hyperlink>
          </w:p>
          <w:p w14:paraId="2029C49B" w14:textId="77777777" w:rsidR="00781449" w:rsidRPr="00336D42" w:rsidRDefault="00781449" w:rsidP="00781449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Ultan, Mehlika Ozlem. (2016). Integrarea culturală europeană: teorii și practici. Jurnalul Internațional de Cultură și Istorie (EJournal). 2. 146-149. 10.18178/ijch.2016.2.4.053.</w:t>
            </w:r>
          </w:p>
          <w:p w14:paraId="7D682680" w14:textId="77777777" w:rsidR="00781449" w:rsidRPr="00336D42" w:rsidRDefault="009E086F" w:rsidP="007814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Calibri" w:hAnsi="Calibri" w:cs="Calibri"/>
                <w:sz w:val="28"/>
                <w:szCs w:val="27"/>
              </w:rPr>
            </w:pPr>
            <w:hyperlink r:id="rId29" w:history="1">
              <w:r w:rsidR="00781449"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https://www.researchgate.net/publication/312076398_European_Cultural_Integration_Theories_and_Practices</w:t>
              </w:r>
            </w:hyperlink>
          </w:p>
          <w:p w14:paraId="1F9A058C" w14:textId="77777777" w:rsidR="00781449" w:rsidRPr="00336D42" w:rsidRDefault="00781449" w:rsidP="0078144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Patrice Canivez. Despre multiculturalismul european. Alexandre Dupeyrix, Gérard Raulet. Constituționalismul european. Historical and Contemporary Perspectives, PIE Peter Lang, pp.127-138, 2014, Euroclio. Studii și documente, 978-2-87574-192-9. ffhalshs-01098511 </w:t>
            </w:r>
          </w:p>
          <w:p w14:paraId="72D387E0" w14:textId="77777777" w:rsidR="00781449" w:rsidRPr="00336D42" w:rsidRDefault="009E086F" w:rsidP="007814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30" w:history="1">
              <w:r w:rsidR="00781449"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https://halshs.archives-ouvertes.fr/halshs-01098511/document</w:t>
              </w:r>
            </w:hyperlink>
            <w:r w:rsidR="00781449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</w:p>
          <w:p w14:paraId="3810892C" w14:textId="77777777" w:rsidR="00781449" w:rsidRPr="00336D42" w:rsidRDefault="00781449" w:rsidP="0078144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Cursuri video de Migration Matters,</w:t>
            </w:r>
          </w:p>
          <w:p w14:paraId="6D6B2CEE" w14:textId="77777777" w:rsidR="00781449" w:rsidRPr="00336D42" w:rsidRDefault="009E086F" w:rsidP="007814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31" w:history="1">
              <w:r w:rsidR="00781449"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http://migrationmatters.me/videos-courses/</w:t>
              </w:r>
            </w:hyperlink>
          </w:p>
          <w:p w14:paraId="43A79F65" w14:textId="77777777" w:rsidR="00781449" w:rsidRPr="00336D42" w:rsidRDefault="00781449" w:rsidP="00781449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Joachim von Meien (Autor), 2006, The Multiculturalism vs Integration Debate in Great Britain, München, GRIN Verlag,</w:t>
            </w:r>
          </w:p>
          <w:p w14:paraId="109AC621" w14:textId="77777777" w:rsidR="00781449" w:rsidRPr="00336D42" w:rsidRDefault="009E086F" w:rsidP="00781449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32" w:history="1">
              <w:r w:rsidR="00781449"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https://www.grin.com/document/59366</w:t>
              </w:r>
            </w:hyperlink>
          </w:p>
          <w:p w14:paraId="1CAF8AB3" w14:textId="77777777" w:rsidR="00781449" w:rsidRPr="00336D42" w:rsidRDefault="00781449" w:rsidP="00781449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A cui „identitate”? Multiculturalism vs. Integration in Europe, de Tommaso Virgili, publicat pentru prima dată pe 23 martie 2020, articol de cercetare, </w:t>
            </w:r>
            <w:hyperlink r:id="rId33" w:history="1">
              <w:r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https://journals.sagepub.com/doi/pdf/10.1177/1781685820915087</w:t>
              </w:r>
            </w:hyperlink>
          </w:p>
          <w:p w14:paraId="6E28CB19" w14:textId="6A275E50" w:rsidR="00262DDB" w:rsidRPr="00336D42" w:rsidRDefault="009E086F" w:rsidP="0089609B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34" w:history="1">
              <w:r w:rsidR="00781449" w:rsidRPr="00336D42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https://doi.org/10.1177/1781685820915087</w:t>
              </w:r>
            </w:hyperlink>
          </w:p>
          <w:p w14:paraId="7ADE25C0" w14:textId="7A57C657" w:rsidR="001E73AA" w:rsidRPr="00336D42" w:rsidRDefault="00262DDB" w:rsidP="000E78D0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32"/>
                <w:szCs w:val="27"/>
              </w:rPr>
            </w:pPr>
            <w:r w:rsidRPr="000E78D0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3) </w:t>
            </w:r>
            <w:r w:rsidR="00717302" w:rsidRPr="000E78D0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Planșe de h</w:t>
            </w:r>
            <w:r w:rsidRPr="000E78D0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ârtie și markere, smartphone-uri, proiector, articol tipărit</w:t>
            </w:r>
          </w:p>
        </w:tc>
      </w:tr>
      <w:tr w:rsidR="00262DDB" w:rsidRPr="00336D42" w14:paraId="494F6D78" w14:textId="77777777" w:rsidTr="00917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3F66B6D6" w14:textId="77777777" w:rsidR="00262DDB" w:rsidRPr="00336D42" w:rsidRDefault="00262DDB" w:rsidP="0091777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Categorie</w:t>
            </w:r>
          </w:p>
          <w:p w14:paraId="6281071B" w14:textId="77777777" w:rsidR="00262DDB" w:rsidRPr="00336D42" w:rsidRDefault="00262DDB" w:rsidP="0091777A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0AFA8F12" w14:textId="77777777" w:rsidR="00262DDB" w:rsidRPr="00336D42" w:rsidRDefault="00262DDB" w:rsidP="0091777A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27"/>
              </w:rPr>
            </w:pPr>
            <w:r w:rsidRPr="000E78D0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Interschimbabil (sala de clasă / online / e-learning)</w:t>
            </w:r>
          </w:p>
        </w:tc>
      </w:tr>
      <w:tr w:rsidR="00262DDB" w:rsidRPr="00336D42" w14:paraId="7AF242B2" w14:textId="77777777" w:rsidTr="009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2A4BD7B2" w14:textId="77777777" w:rsidR="00262DDB" w:rsidRDefault="00262DDB" w:rsidP="00F0690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0690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Grupul țintă principal</w:t>
            </w:r>
          </w:p>
          <w:p w14:paraId="10EC512B" w14:textId="675E5E12" w:rsidR="00F06903" w:rsidRPr="00336D42" w:rsidRDefault="00F06903" w:rsidP="00F0690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74151231" w14:textId="77777777" w:rsidR="00F06903" w:rsidRDefault="00F06903" w:rsidP="00F06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5BAABBFA" w14:textId="77777777" w:rsidR="00F06903" w:rsidRDefault="00F06903" w:rsidP="00F06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54F2A008" w14:textId="644F9241" w:rsidR="00262DDB" w:rsidRPr="00336D42" w:rsidRDefault="00262DDB" w:rsidP="00F06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16-18 ani / elevi de </w:t>
            </w:r>
            <w:r w:rsidR="00336D42"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liceu</w:t>
            </w:r>
          </w:p>
        </w:tc>
      </w:tr>
      <w:tr w:rsidR="00262DDB" w:rsidRPr="00336D42" w14:paraId="26FD2F4E" w14:textId="77777777" w:rsidTr="00917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57CDC298" w14:textId="77777777" w:rsidR="00F06903" w:rsidRDefault="00F06903" w:rsidP="000E78D0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3CFBE909" w14:textId="77777777" w:rsidR="00262DDB" w:rsidRDefault="00717302" w:rsidP="000E78D0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Materii înrudite</w:t>
            </w:r>
            <w:r w:rsidR="00262DDB" w:rsidRPr="00336D4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  <w:p w14:paraId="53C898C9" w14:textId="205D791C" w:rsidR="00F06903" w:rsidRPr="00336D42" w:rsidRDefault="00F06903" w:rsidP="000E78D0">
            <w:pPr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4369" w:type="pct"/>
          </w:tcPr>
          <w:p w14:paraId="2182F000" w14:textId="77777777" w:rsidR="00F06903" w:rsidRDefault="00F06903" w:rsidP="000E7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519A495C" w14:textId="60B1978B" w:rsidR="00262DDB" w:rsidRPr="00336D42" w:rsidRDefault="00262DDB" w:rsidP="000E7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8"/>
                <w:szCs w:val="27"/>
              </w:rPr>
            </w:pP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Engleză, Etică, Educație pentru cetățenie, Studii europene, Engleză ca a doua limbă, Științe </w:t>
            </w:r>
            <w:r w:rsidR="0071730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socio-</w:t>
            </w:r>
            <w:r w:rsidRPr="00336D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umane</w:t>
            </w:r>
            <w:r w:rsidR="005F3EE9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, Dirigenție </w:t>
            </w:r>
            <w:bookmarkStart w:id="0" w:name="_GoBack"/>
            <w:bookmarkEnd w:id="0"/>
          </w:p>
        </w:tc>
      </w:tr>
    </w:tbl>
    <w:p w14:paraId="465FA122" w14:textId="45D67A3C" w:rsidR="001E73AA" w:rsidRDefault="001E73AA" w:rsidP="00262DDB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18"/>
        </w:rPr>
      </w:pPr>
    </w:p>
    <w:p w14:paraId="501C34CD" w14:textId="374E93D1" w:rsidR="00F06903" w:rsidRDefault="00F06903" w:rsidP="00262DDB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18"/>
        </w:rPr>
      </w:pPr>
    </w:p>
    <w:p w14:paraId="5C8991B7" w14:textId="7AC83E9D" w:rsidR="00F06903" w:rsidRDefault="00F06903" w:rsidP="00262DDB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18"/>
        </w:rPr>
      </w:pPr>
    </w:p>
    <w:p w14:paraId="6F1703F2" w14:textId="35964AF9" w:rsidR="00F06903" w:rsidRDefault="00F06903" w:rsidP="00262DDB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18"/>
        </w:rPr>
      </w:pPr>
    </w:p>
    <w:p w14:paraId="61C70926" w14:textId="77777777" w:rsidR="00F06903" w:rsidRDefault="00F06903" w:rsidP="00262DDB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18"/>
        </w:rPr>
      </w:pPr>
    </w:p>
    <w:p w14:paraId="302A8234" w14:textId="5C0EFF29" w:rsidR="00262DDB" w:rsidRPr="00336D42" w:rsidRDefault="00262DDB" w:rsidP="00262DD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7"/>
        </w:rPr>
      </w:pPr>
      <w:r w:rsidRPr="00336D42">
        <w:rPr>
          <w:rFonts w:ascii="Calibri-Italic" w:hAnsi="Calibri-Italic" w:cs="Calibri-Italic"/>
          <w:i/>
          <w:iCs/>
          <w:sz w:val="20"/>
          <w:szCs w:val="18"/>
        </w:rPr>
        <w:t>Această publicație a fost creată cu sprijinul financiar al Uniunii Europene prin Programul Erasmus+. Acesta reflectă doar punctul de vedere al autorului, iar Agenția Națională și Comisia Europeană nu sunt responsabile pentru nicio utilizare care poate fi făcută a informațiilor pe care le conține.</w:t>
      </w:r>
    </w:p>
    <w:p w14:paraId="31243715" w14:textId="77777777" w:rsidR="00262DDB" w:rsidRPr="00336D42" w:rsidRDefault="00262DDB" w:rsidP="00262DDB"/>
    <w:p w14:paraId="5562003D" w14:textId="77777777" w:rsidR="00262DDB" w:rsidRPr="00336D42" w:rsidRDefault="00262DDB" w:rsidP="00262DDB"/>
    <w:p w14:paraId="2BAFF54F" w14:textId="77777777" w:rsidR="00262DDB" w:rsidRPr="00336D42" w:rsidRDefault="00262DDB" w:rsidP="00262DDB"/>
    <w:p w14:paraId="1862A6AD" w14:textId="77777777" w:rsidR="00C677B0" w:rsidRPr="00336D42" w:rsidRDefault="00C677B0"/>
    <w:sectPr w:rsidR="00C677B0" w:rsidRPr="00336D42" w:rsidSect="00B04763">
      <w:headerReference w:type="default" r:id="rId35"/>
      <w:footerReference w:type="default" r:id="rId36"/>
      <w:pgSz w:w="12240" w:h="15840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A1941" w14:textId="77777777" w:rsidR="009E086F" w:rsidRDefault="009E086F">
      <w:pPr>
        <w:spacing w:after="0" w:line="240" w:lineRule="auto"/>
      </w:pPr>
      <w:r>
        <w:separator/>
      </w:r>
    </w:p>
  </w:endnote>
  <w:endnote w:type="continuationSeparator" w:id="0">
    <w:p w14:paraId="225DBA0C" w14:textId="77777777" w:rsidR="009E086F" w:rsidRDefault="009E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6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CB5DB" w14:textId="020A86D6" w:rsidR="001E5F73" w:rsidRDefault="007814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E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F9972C3" w14:textId="77777777" w:rsidR="001E5F73" w:rsidRDefault="009E0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ADFE" w14:textId="77777777" w:rsidR="009E086F" w:rsidRDefault="009E086F">
      <w:pPr>
        <w:spacing w:after="0" w:line="240" w:lineRule="auto"/>
      </w:pPr>
      <w:r>
        <w:separator/>
      </w:r>
    </w:p>
  </w:footnote>
  <w:footnote w:type="continuationSeparator" w:id="0">
    <w:p w14:paraId="18523D54" w14:textId="77777777" w:rsidR="009E086F" w:rsidRDefault="009E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BB7C" w14:textId="77777777" w:rsidR="001E5F73" w:rsidRDefault="00781449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478AB2" wp14:editId="78A0C439">
              <wp:simplePos x="0" y="0"/>
              <wp:positionH relativeFrom="page">
                <wp:posOffset>3169919</wp:posOffset>
              </wp:positionH>
              <wp:positionV relativeFrom="page">
                <wp:posOffset>259080</wp:posOffset>
              </wp:positionV>
              <wp:extent cx="4457700" cy="1409700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7700" cy="1409700"/>
                        <a:chOff x="-179176" y="0"/>
                        <a:chExt cx="1700784" cy="1074287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-179176" y="0"/>
                          <a:ext cx="1700784" cy="1074287"/>
                          <a:chOff x="-179176" y="0"/>
                          <a:chExt cx="1700784" cy="1074287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-179176" y="50159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-9144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598909" y="9510"/>
                          <a:ext cx="871867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4BEAF" w14:textId="77777777" w:rsidR="001E5F73" w:rsidRDefault="00781449" w:rsidP="00B0476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3CB1">
                              <w:rPr>
                                <w:noProof/>
                                <w:color w:val="FFFFFF" w:themeColor="background1"/>
                                <w:sz w:val="52"/>
                                <w:szCs w:val="24"/>
                              </w:rPr>
                              <w:t>www.vaeie.eu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78AB2" id="Group 167" o:spid="_x0000_s1026" style="position:absolute;margin-left:249.6pt;margin-top:20.4pt;width:351pt;height:111pt;z-index:-251657216;mso-position-horizontal-relative:page;mso-position-vertical-relative:page;mso-width-relative:margin;mso-height-relative:margin" coordorigin="-1791" coordsize="17007,10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ff/ygUAAMgaAAAOAAAAZHJzL2Uyb0RvYy54bWzsWVtv2zYUfh+w/yDo&#10;cUBrSZGvqFNkyVoUKNqizdDukaYoS5gkaiQdO/31+3iTZcep3WzLhiF+sEXx3Hh4+PGc4xcvN3UV&#10;3DAhS97Mw/h5FAasoTwrm+U8/PX61bNJGEhFmoxUvGHz8JbJ8OX5jz+8WLczlvCCVxkTAYQ0crZu&#10;52GhVDsbDCQtWE3kc96yBpM5FzVRGIrlIBNkDel1NUiiaDRYc5G1glMmJd5e2cnw3MjPc0bV+zyX&#10;TAXVPIRtynwL873Q34PzF2S2FKQtSurMIA+woiZlA6WdqCuiSLAS5R1RdUkFlzxXzymvBzzPS8rM&#10;GrCaONpbzWvBV61Zy3K2Xradm+DaPT89WCx9d/NBBGWGvRuNw6AhNTbJ6A30C7hn3S5noHot2k/t&#10;B+FeLO1Ir3iTi1r/Yi3Bxjj2tnMs26iA4mWaDsfjCP6nmIvTaKoHxvW0wP5ovmfxeBqPR2Gw5abF&#10;L44/Bv14kjr+aJwmE2PbwKsfaCs7o7pBZ323RoTj7honD1jjAVv9Su+zlMz+oZXi2MhtZMi/Fhmf&#10;CtIyE3BS73nntan32kccKNIsK4bomFrPGcouNORMIkoOxEXfZ8MoHhpuMrvHb0kaJ2Znuh0ms1ZI&#10;9ZrxOtAP81DAFHPkyM1bqRBMIPUkWr/kVZm9KqvKDDSesMtKBDcESLBYxpa1agtiX5l4hAiDPJrS&#10;CNwRUjVaVMO1UKtPv0Ho+UWbJ3VbMU1XNR9ZjpOF2E6Msk6yVUgoZY2ydsiCZMy+Hkb4aM/escUI&#10;1JJz6O9kOwG76/OyrRhHr1mZgcSOOfqWYZa54zCaeaM65rpsuDgkoMKqnGZL751kXaO9tODZLaJL&#10;cAvIsqWvSuzqWyLVByKAwMAK3CrqPb7yiq/nIXdPYVBw8fXQe02P8MdsGKyB6PNQ/rEigoVB9abB&#10;wZjGaaqvADMAICUYiP7Moj/TrOpLjlCJcX+11DxqelX5x1zw+jMunwutFVOkodA9D6kSfnCp7E2D&#10;64uyiwtDBthviXrbfGqpFq69qqP2evOZiNaFtsKpeMf9YSSzvQi3tJqz4RcrxfPShP/Wr87fAAYN&#10;gI+BEGM4wOJqDyGS7wIISNhCfwcL6egs0rtmLo4oTqe4BWxs+XuHriwsaH94R+EezgAK+tUyc4ZR&#10;3jSyVOwLpOV1hRj7aRBEwTqI01EySYyxB8h/2yUvghhWpBMT4QfIvyBeOulO8nEdfaYoOKojeYiO&#10;HSa7huOaznqaTvBVn9z56bgOXOudx07QsUt+1Fe72/e029+K3f72jc4myWh6PHT7PCmStOn0MXcc&#10;l2R30klh8wCkWpvGnX48AZiRL9ubruVS55p9KADm+CGOuoUWcGnoOMKMQ9tn9nfeacw4jX1mgz5Y&#10;zGnM8Hmf+ey7zMb56TN7ODWarQXOdzrB0mVTZcomhcsPSVcYoGxaaIW4t4jSLvePAW5pj6VBgWcH&#10;lHq+xvV9zQ2l2qsSoHM7WzV9qk4aDPZ74yn8b2vk9Sm9XruXns7/Wnob3cYTNmidCz2V/7XUwJAD&#10;FtCKS2aVaE+YjK1zifZk72LaySPvSQStqB3Kp4wzf8o4nzLOQzXpGPB7J+PES5winfKiej2hJtUl&#10;wfZs96rRdJzE237D31CNLqqy9cWofna9HEDqXifnQMfLdomuOF3VqBht20uwiij03GRRthLQPGP1&#10;gmUA6DeZS02lEkxRwJIvGKkrkrsJYFTfLAs2O/izh1S6bL6DUpDyVAY/lcH/8TJ42yB8tJIYKZ4F&#10;qGtdzf7MN0E83i+JA7XBhG4EONy6p3s2nE6mEbpwSEOmw9jkQlu0mozjiW7e6hr5bDxMJkN3Sn2J&#10;7NtiJ3bOug6XPtk6qxudDW3+3M24Q+8bSjbxPqETdkLD6XCb6wTGx25zZb97NHRJyt02l9osNm5j&#10;//WOl2t/Heh4uZn/S8fLHHX8XWIScvfXjv4/pj82W7X9A+r8T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7tn5/hAAAACwEAAA8AAABkcnMvZG93bnJldi54bWxMj0FPwzAMhe9I&#10;/IfISNxY0gLTVppO0wScJiQ2JMTNa7y2WpNUTdZ2/x7vBDfb7+n5e/lqsq0YqA+NdxqSmQJBrvSm&#10;cZWGr/3bwwJEiOgMtt6RhgsFWBW3Nzlmxo/uk4ZdrASHuJChhjrGLpMylDVZDDPfkWPt6HuLkde+&#10;kqbHkcNtK1Ol5tJi4/hDjR1taipPu7PV8D7iuH5MXoft6bi5/OyfP763CWl9fzetX0BEmuKfGa74&#10;jA4FMx382ZkgWg1Py2XKVh4UV7gaUpXw5aAhnacLkEUu/3cofgE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BAi0AFAAGAAgAAAAhALGCZ7YK&#10;AQAAEwIAABMAAAAAAAAAAAAAAAAAAAAAAFtDb250ZW50X1R5cGVzXS54bWxQSwECLQAUAAYACAAA&#10;ACEAOP0h/9YAAACUAQAACwAAAAAAAAAAAAAAAAA7AQAAX3JlbHMvLnJlbHNQSwECLQAUAAYACAAA&#10;ACEArYX3/8oFAADIGgAADgAAAAAAAAAAAAAAAAA6AgAAZHJzL2Uyb0RvYy54bWxQSwECLQAUAAYA&#10;CAAAACEAqiYOvrwAAAAhAQAAGQAAAAAAAAAAAAAAAAAwCAAAZHJzL19yZWxzL2Uyb0RvYy54bWwu&#10;cmVsc1BLAQItABQABgAIAAAAIQBu7Z+f4QAAAAsBAAAPAAAAAAAAAAAAAAAAACMJAABkcnMvZG93&#10;bnJldi54bWxQSwECLQAKAAAAAAAAACEAoj3WLfAaAADwGgAAFAAAAAAAAAAAAAAAAAAxCgAAZHJz&#10;L21lZGlhL2ltYWdlMS5wbmdQSwUGAAAAAAYABgB8AQAAUyUAAAAA&#10;">
              <v:group id="Group 168" o:spid="_x0000_s1027" style="position:absolute;left:-1791;width:17007;height:10742" coordorigin="-1791" coordsize="17007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left:-1791;top:501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left:-91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5989;top:95;width:8718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A94BEAF" w14:textId="77777777" w:rsidR="001E5F73" w:rsidRDefault="00781449" w:rsidP="00B0476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03CB1">
                        <w:rPr>
                          <w:noProof/>
                          <w:color w:val="FFFFFF" w:themeColor="background1"/>
                          <w:sz w:val="52"/>
                          <w:szCs w:val="24"/>
                        </w:rPr>
                        <w:t>www.vaeie.eu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2A55617C" w14:textId="77777777" w:rsidR="001E5F73" w:rsidRDefault="009E0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B3A"/>
    <w:multiLevelType w:val="hybridMultilevel"/>
    <w:tmpl w:val="F32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5B0"/>
    <w:multiLevelType w:val="hybridMultilevel"/>
    <w:tmpl w:val="DB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380"/>
    <w:multiLevelType w:val="hybridMultilevel"/>
    <w:tmpl w:val="558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DCF"/>
    <w:multiLevelType w:val="hybridMultilevel"/>
    <w:tmpl w:val="915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6EB9"/>
    <w:multiLevelType w:val="hybridMultilevel"/>
    <w:tmpl w:val="DD2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8561C"/>
    <w:multiLevelType w:val="hybridMultilevel"/>
    <w:tmpl w:val="4DE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DB"/>
    <w:rsid w:val="000E78D0"/>
    <w:rsid w:val="001E73AA"/>
    <w:rsid w:val="00207EDE"/>
    <w:rsid w:val="00262DDB"/>
    <w:rsid w:val="002E3310"/>
    <w:rsid w:val="002E60D9"/>
    <w:rsid w:val="00336D42"/>
    <w:rsid w:val="00413367"/>
    <w:rsid w:val="00472CD7"/>
    <w:rsid w:val="004A61A7"/>
    <w:rsid w:val="005E593A"/>
    <w:rsid w:val="005F3EE9"/>
    <w:rsid w:val="0060468C"/>
    <w:rsid w:val="006A3B34"/>
    <w:rsid w:val="006C1CD2"/>
    <w:rsid w:val="00717302"/>
    <w:rsid w:val="00781449"/>
    <w:rsid w:val="0089609B"/>
    <w:rsid w:val="00943AB5"/>
    <w:rsid w:val="009E086F"/>
    <w:rsid w:val="00C1077A"/>
    <w:rsid w:val="00C677B0"/>
    <w:rsid w:val="00E02E64"/>
    <w:rsid w:val="00EC5CB5"/>
    <w:rsid w:val="00F06903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63D0"/>
  <w15:chartTrackingRefBased/>
  <w15:docId w15:val="{FC92E601-3572-497C-83EA-7D0ADA44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D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262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2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DB"/>
    <w:rPr>
      <w:lang w:val="ro"/>
    </w:rPr>
  </w:style>
  <w:style w:type="paragraph" w:styleId="Footer">
    <w:name w:val="footer"/>
    <w:basedOn w:val="Normal"/>
    <w:link w:val="FooterChar"/>
    <w:uiPriority w:val="99"/>
    <w:unhideWhenUsed/>
    <w:rsid w:val="00262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DB"/>
    <w:rPr>
      <w:lang w:val="ro"/>
    </w:rPr>
  </w:style>
  <w:style w:type="table" w:styleId="GridTable6Colorful-Accent1">
    <w:name w:val="Grid Table 6 Colorful Accent 1"/>
    <w:basedOn w:val="TableNormal"/>
    <w:uiPriority w:val="51"/>
    <w:rsid w:val="00262DD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62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keyword/Multiculturalism" TargetMode="External"/><Relationship Id="rId18" Type="http://schemas.openxmlformats.org/officeDocument/2006/relationships/hyperlink" Target="https://www.youtube.com/watch?v=NTQo-AbQ6GA" TargetMode="External"/><Relationship Id="rId26" Type="http://schemas.openxmlformats.org/officeDocument/2006/relationships/hyperlink" Target="https://en.wikipedia.org/wiki/Interculturalism" TargetMode="External"/><Relationship Id="rId21" Type="http://schemas.openxmlformats.org/officeDocument/2006/relationships/hyperlink" Target="https://www.youtube.com/channel/UCvJTSwhZn_VhQXN4DPFlYMw" TargetMode="External"/><Relationship Id="rId34" Type="http://schemas.openxmlformats.org/officeDocument/2006/relationships/hyperlink" Target="https://doi.org/10.1177/178168582091508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journals.sagepub.com/keyword/Integration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s://en.wikipedia.org/wiki/Multiculturalism" TargetMode="External"/><Relationship Id="rId33" Type="http://schemas.openxmlformats.org/officeDocument/2006/relationships/hyperlink" Target="https://journals.sagepub.com/doi/pdf/10.1177/178168582091508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embed/NTQo-AbQ6GA?feature=oembed" TargetMode="External"/><Relationship Id="rId20" Type="http://schemas.openxmlformats.org/officeDocument/2006/relationships/image" Target="media/image5.jpg"/><Relationship Id="rId29" Type="http://schemas.openxmlformats.org/officeDocument/2006/relationships/hyperlink" Target="https://www.researchgate.net/publication/312076398_European_Cultural_Integration_Theories_and_Pract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sagepub.com/keyword/Migration" TargetMode="External"/><Relationship Id="rId24" Type="http://schemas.openxmlformats.org/officeDocument/2006/relationships/hyperlink" Target="https://vaeie.eu/ecourses/course/view.php?id=13" TargetMode="External"/><Relationship Id="rId32" Type="http://schemas.openxmlformats.org/officeDocument/2006/relationships/hyperlink" Target="https://www.grin.com/document/5936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journals.sagepub.com/keyword/Identity+Politics" TargetMode="External"/><Relationship Id="rId23" Type="http://schemas.openxmlformats.org/officeDocument/2006/relationships/hyperlink" Target="https://www.cairn.info/revue-politique-europeenne-2014-3-page-0.htm" TargetMode="External"/><Relationship Id="rId28" Type="http://schemas.openxmlformats.org/officeDocument/2006/relationships/hyperlink" Target="https://eenc.eu/uploads/eenc-eu/2021/04/21/83b9ec17e60b026419ac84c7280bec6a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n.wikipedia.org/wiki/Ethnic_groups_in_Europe" TargetMode="External"/><Relationship Id="rId19" Type="http://schemas.openxmlformats.org/officeDocument/2006/relationships/hyperlink" Target="https://www.youtube.com/embed/ToOiAiqEvrE?feature=oembed" TargetMode="External"/><Relationship Id="rId31" Type="http://schemas.openxmlformats.org/officeDocument/2006/relationships/hyperlink" Target="http://migrationmatters.me/videos-cours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ournals.sagepub.com/keyword/Identity+Politics" TargetMode="External"/><Relationship Id="rId22" Type="http://schemas.openxmlformats.org/officeDocument/2006/relationships/hyperlink" Target="https://www.youtube.com/watch?v=ToOiAiqEvrE" TargetMode="External"/><Relationship Id="rId27" Type="http://schemas.openxmlformats.org/officeDocument/2006/relationships/hyperlink" Target="https://germanydaily.de/culture/cultural-integration/" TargetMode="External"/><Relationship Id="rId30" Type="http://schemas.openxmlformats.org/officeDocument/2006/relationships/hyperlink" Target="https://halshs.archives-ouvertes.fr/halshs-01098511/document" TargetMode="External"/><Relationship Id="rId35" Type="http://schemas.openxmlformats.org/officeDocument/2006/relationships/header" Target="header1.xm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</dc:creator>
  <cp:keywords/>
  <dc:description/>
  <cp:lastModifiedBy>UltraBook</cp:lastModifiedBy>
  <cp:revision>14</cp:revision>
  <dcterms:created xsi:type="dcterms:W3CDTF">2022-02-21T10:49:00Z</dcterms:created>
  <dcterms:modified xsi:type="dcterms:W3CDTF">2022-04-10T09:35:00Z</dcterms:modified>
</cp:coreProperties>
</file>